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41F3" w:rsidRPr="008578CC" w:rsidRDefault="00AF41F3" w:rsidP="0013035B">
      <w:pPr>
        <w:widowControl w:val="0"/>
        <w:spacing w:after="120"/>
        <w:jc w:val="right"/>
        <w:rPr>
          <w:rFonts w:ascii="Garamond" w:eastAsia="Garamond" w:hAnsi="Garamond" w:cs="Garamond"/>
          <w:sz w:val="24"/>
          <w:szCs w:val="24"/>
        </w:rPr>
      </w:pPr>
      <w:r w:rsidRPr="008578CC">
        <w:rPr>
          <w:rFonts w:ascii="Garamond" w:eastAsia="Garamond" w:hAnsi="Garamond" w:cs="Garamond"/>
          <w:sz w:val="18"/>
          <w:szCs w:val="18"/>
        </w:rPr>
        <w:t xml:space="preserve">                                                            </w:t>
      </w:r>
      <w:r w:rsidRPr="008578CC">
        <w:rPr>
          <w:rFonts w:ascii="Garamond" w:eastAsia="Garamond" w:hAnsi="Garamond" w:cs="Garamond"/>
          <w:sz w:val="24"/>
          <w:szCs w:val="24"/>
        </w:rPr>
        <w:t>RESOLUCIÓN  Nº</w:t>
      </w:r>
      <w:r w:rsidR="004B2117">
        <w:rPr>
          <w:rFonts w:ascii="Garamond" w:eastAsia="Garamond" w:hAnsi="Garamond" w:cs="Garamond"/>
          <w:sz w:val="24"/>
          <w:szCs w:val="24"/>
        </w:rPr>
        <w:t xml:space="preserve"> </w:t>
      </w:r>
      <w:r w:rsidR="00D03BB0">
        <w:rPr>
          <w:rFonts w:ascii="Garamond" w:eastAsia="Garamond" w:hAnsi="Garamond" w:cs="Garamond"/>
          <w:sz w:val="24"/>
          <w:szCs w:val="24"/>
        </w:rPr>
        <w:t>127/2020</w:t>
      </w:r>
    </w:p>
    <w:p w:rsidR="00AF41F3" w:rsidRPr="008578CC" w:rsidRDefault="00AF41F3" w:rsidP="0013035B">
      <w:pPr>
        <w:widowControl w:val="0"/>
        <w:ind w:left="4990"/>
        <w:jc w:val="right"/>
        <w:rPr>
          <w:rFonts w:ascii="Garamond" w:eastAsia="Garamond" w:hAnsi="Garamond" w:cs="Garamond"/>
          <w:sz w:val="24"/>
          <w:szCs w:val="24"/>
        </w:rPr>
      </w:pPr>
      <w:r w:rsidRPr="008578CC">
        <w:rPr>
          <w:rFonts w:ascii="Garamond" w:eastAsia="Garamond" w:hAnsi="Garamond" w:cs="Garamond"/>
          <w:sz w:val="24"/>
          <w:szCs w:val="24"/>
        </w:rPr>
        <w:tab/>
        <w:t xml:space="preserve">                   </w:t>
      </w:r>
    </w:p>
    <w:p w:rsidR="00AF41F3" w:rsidRPr="008578CC" w:rsidRDefault="00AF41F3" w:rsidP="0013035B">
      <w:pPr>
        <w:widowControl w:val="0"/>
        <w:jc w:val="right"/>
        <w:rPr>
          <w:rFonts w:ascii="Garamond" w:eastAsia="Garamond" w:hAnsi="Garamond" w:cs="Garamond"/>
          <w:sz w:val="20"/>
          <w:szCs w:val="20"/>
        </w:rPr>
      </w:pPr>
      <w:r w:rsidRPr="008578CC">
        <w:rPr>
          <w:rFonts w:ascii="Garamond" w:eastAsia="Garamond" w:hAnsi="Garamond" w:cs="Garamond"/>
          <w:sz w:val="20"/>
          <w:szCs w:val="20"/>
        </w:rPr>
        <w:t xml:space="preserve">SANTA FE, </w:t>
      </w:r>
      <w:r w:rsidRPr="008578CC">
        <w:rPr>
          <w:rFonts w:ascii="Garamond" w:eastAsia="Garamond" w:hAnsi="Garamond" w:cs="Garamond"/>
          <w:i/>
          <w:iCs/>
          <w:sz w:val="20"/>
          <w:szCs w:val="20"/>
        </w:rPr>
        <w:t>“CUNA DE LA CONSTITUCIÓN NACIONAL”</w:t>
      </w:r>
      <w:r w:rsidRPr="008578CC">
        <w:rPr>
          <w:rFonts w:ascii="Garamond" w:eastAsia="Garamond" w:hAnsi="Garamond" w:cs="Garamond"/>
          <w:sz w:val="20"/>
          <w:szCs w:val="20"/>
        </w:rPr>
        <w:t xml:space="preserve">, </w:t>
      </w:r>
      <w:r w:rsidR="00D03BB0">
        <w:rPr>
          <w:rFonts w:ascii="Garamond" w:eastAsia="Garamond" w:hAnsi="Garamond" w:cs="Garamond"/>
          <w:sz w:val="20"/>
          <w:szCs w:val="20"/>
        </w:rPr>
        <w:t>4</w:t>
      </w:r>
      <w:r w:rsidR="004B2117">
        <w:rPr>
          <w:rFonts w:ascii="Garamond" w:eastAsia="Garamond" w:hAnsi="Garamond" w:cs="Garamond"/>
          <w:sz w:val="20"/>
          <w:szCs w:val="20"/>
        </w:rPr>
        <w:t xml:space="preserve"> de </w:t>
      </w:r>
      <w:r w:rsidR="00D03BB0">
        <w:rPr>
          <w:rFonts w:ascii="Garamond" w:eastAsia="Garamond" w:hAnsi="Garamond" w:cs="Garamond"/>
          <w:sz w:val="20"/>
          <w:szCs w:val="20"/>
        </w:rPr>
        <w:t xml:space="preserve">junio </w:t>
      </w:r>
      <w:r w:rsidR="004B2117">
        <w:rPr>
          <w:rFonts w:ascii="Garamond" w:eastAsia="Garamond" w:hAnsi="Garamond" w:cs="Garamond"/>
          <w:sz w:val="20"/>
          <w:szCs w:val="20"/>
        </w:rPr>
        <w:t>de 2020.</w:t>
      </w:r>
    </w:p>
    <w:p w:rsidR="00AF41F3" w:rsidRPr="008578CC" w:rsidRDefault="00AF41F3" w:rsidP="0013035B">
      <w:pPr>
        <w:widowControl w:val="0"/>
        <w:rPr>
          <w:rFonts w:ascii="Garamond" w:eastAsia="Garamond" w:hAnsi="Garamond" w:cs="Garamond"/>
          <w:sz w:val="20"/>
          <w:szCs w:val="20"/>
        </w:rPr>
      </w:pPr>
    </w:p>
    <w:p w:rsidR="00AF41F3" w:rsidRPr="008578CC" w:rsidRDefault="00AF41F3" w:rsidP="0013035B">
      <w:pPr>
        <w:widowControl w:val="0"/>
        <w:spacing w:after="120" w:line="360" w:lineRule="auto"/>
        <w:rPr>
          <w:rFonts w:ascii="Garamond" w:eastAsia="Garamond" w:hAnsi="Garamond" w:cs="Garamond"/>
          <w:sz w:val="24"/>
          <w:szCs w:val="24"/>
        </w:rPr>
      </w:pPr>
      <w:r w:rsidRPr="008578CC">
        <w:rPr>
          <w:rFonts w:ascii="Garamond" w:eastAsia="Garamond" w:hAnsi="Garamond" w:cs="Garamond"/>
          <w:sz w:val="24"/>
          <w:szCs w:val="24"/>
        </w:rPr>
        <w:t>VISTO:</w:t>
      </w:r>
    </w:p>
    <w:p w:rsidR="00D03BB0" w:rsidRPr="00D03BB0" w:rsidRDefault="00D03BB0" w:rsidP="00D03BB0">
      <w:pPr>
        <w:widowControl w:val="0"/>
        <w:autoSpaceDE w:val="0"/>
        <w:autoSpaceDN w:val="0"/>
        <w:adjustRightInd w:val="0"/>
        <w:spacing w:before="120" w:after="120" w:line="360" w:lineRule="auto"/>
        <w:ind w:firstLine="851"/>
        <w:jc w:val="both"/>
        <w:rPr>
          <w:rFonts w:ascii="Garamond" w:hAnsi="Garamond" w:cstheme="minorHAnsi"/>
          <w:sz w:val="24"/>
          <w:szCs w:val="24"/>
        </w:rPr>
      </w:pPr>
      <w:r w:rsidRPr="00D03BB0">
        <w:rPr>
          <w:rFonts w:ascii="Garamond" w:hAnsi="Garamond" w:cstheme="minorHAnsi"/>
          <w:sz w:val="24"/>
          <w:szCs w:val="24"/>
        </w:rPr>
        <w:t>El Decreto Provincial N° 456/20 de fecha 29 de mayo de 2020.</w:t>
      </w:r>
    </w:p>
    <w:p w:rsidR="00D03BB0" w:rsidRPr="00D03BB0" w:rsidRDefault="00D03BB0" w:rsidP="00D03BB0">
      <w:pPr>
        <w:widowControl w:val="0"/>
        <w:autoSpaceDE w:val="0"/>
        <w:autoSpaceDN w:val="0"/>
        <w:adjustRightInd w:val="0"/>
        <w:spacing w:before="120" w:after="120" w:line="360" w:lineRule="auto"/>
        <w:jc w:val="both"/>
        <w:rPr>
          <w:rFonts w:ascii="Garamond" w:hAnsi="Garamond" w:cstheme="minorHAnsi"/>
          <w:sz w:val="24"/>
          <w:szCs w:val="24"/>
        </w:rPr>
      </w:pPr>
      <w:r w:rsidRPr="00D03BB0">
        <w:rPr>
          <w:rFonts w:ascii="Garamond" w:hAnsi="Garamond" w:cstheme="minorHAnsi"/>
          <w:sz w:val="24"/>
          <w:szCs w:val="24"/>
        </w:rPr>
        <w:t>Y CONSIDERANDO</w:t>
      </w:r>
    </w:p>
    <w:p w:rsidR="00D03BB0" w:rsidRPr="00D03BB0" w:rsidRDefault="00D03BB0" w:rsidP="00D03BB0">
      <w:pPr>
        <w:widowControl w:val="0"/>
        <w:autoSpaceDE w:val="0"/>
        <w:autoSpaceDN w:val="0"/>
        <w:adjustRightInd w:val="0"/>
        <w:spacing w:before="120" w:after="120" w:line="360" w:lineRule="auto"/>
        <w:ind w:firstLine="851"/>
        <w:jc w:val="both"/>
        <w:rPr>
          <w:rFonts w:ascii="Garamond" w:hAnsi="Garamond" w:cstheme="minorHAnsi"/>
          <w:sz w:val="24"/>
          <w:szCs w:val="24"/>
        </w:rPr>
      </w:pPr>
      <w:r w:rsidRPr="00D03BB0">
        <w:rPr>
          <w:rFonts w:ascii="Garamond" w:hAnsi="Garamond" w:cstheme="minorHAnsi"/>
          <w:sz w:val="24"/>
          <w:szCs w:val="24"/>
        </w:rPr>
        <w:t>Que dicho Decreto establece en su artículo 1 la “</w:t>
      </w:r>
      <w:r w:rsidRPr="00D03BB0">
        <w:rPr>
          <w:rFonts w:ascii="Garamond" w:hAnsi="Garamond" w:cstheme="minorHAnsi"/>
          <w:i/>
          <w:sz w:val="24"/>
          <w:szCs w:val="24"/>
        </w:rPr>
        <w:t>excepción al aislamiento social, preventivo y obligatorio y a la prohibición de circular en los aglomerados urbanos del Gran Rosario y Gran Santa Fe, para las personas afectadas a las actividades y servicios vinculados a "obras privadas", que ocupen hasta 10 trabajadores, encuadrados en el régimen legal de trabajo para el personal de la industria de la construcción Ley N° 22.250 y Convenio Colectivo de Trabajo N° 75/16, desarrollando tareas simultáneamente en el lugar, más los profesionales y los comprendidos en la excepción del articulo 2° inciso a) de la ley citada, siempre que los trabajos no impliquen ingresar a viviendas con residentes, locales o establecimientos en funcionamiento. La ampliación de la excepción que en este artículo se dispone es en los mismos términos y condiciones establecidos en el Decreto N° 446/20</w:t>
      </w:r>
      <w:r>
        <w:rPr>
          <w:rFonts w:ascii="Garamond" w:hAnsi="Garamond" w:cstheme="minorHAnsi"/>
          <w:i/>
          <w:sz w:val="24"/>
          <w:szCs w:val="24"/>
        </w:rPr>
        <w:t>.</w:t>
      </w:r>
      <w:r w:rsidRPr="00D03BB0">
        <w:rPr>
          <w:rFonts w:ascii="Garamond" w:hAnsi="Garamond" w:cstheme="minorHAnsi"/>
          <w:sz w:val="24"/>
          <w:szCs w:val="24"/>
        </w:rPr>
        <w:t xml:space="preserve">” </w:t>
      </w:r>
    </w:p>
    <w:p w:rsidR="00D03BB0" w:rsidRPr="00D03BB0" w:rsidRDefault="00D03BB0" w:rsidP="00D03BB0">
      <w:pPr>
        <w:widowControl w:val="0"/>
        <w:autoSpaceDE w:val="0"/>
        <w:autoSpaceDN w:val="0"/>
        <w:adjustRightInd w:val="0"/>
        <w:spacing w:before="120" w:after="120" w:line="360" w:lineRule="auto"/>
        <w:ind w:firstLine="851"/>
        <w:jc w:val="both"/>
        <w:rPr>
          <w:rFonts w:ascii="Garamond" w:hAnsi="Garamond" w:cstheme="minorHAnsi"/>
          <w:sz w:val="24"/>
          <w:szCs w:val="24"/>
        </w:rPr>
      </w:pPr>
      <w:r w:rsidRPr="00D03BB0">
        <w:rPr>
          <w:rFonts w:ascii="Garamond" w:hAnsi="Garamond" w:cstheme="minorHAnsi"/>
          <w:sz w:val="24"/>
          <w:szCs w:val="24"/>
        </w:rPr>
        <w:t>Que para las obras que excedan el número de 10 personas, el artículo 2 establece que “</w:t>
      </w:r>
      <w:r w:rsidRPr="00D03BB0">
        <w:rPr>
          <w:rFonts w:ascii="Garamond" w:hAnsi="Garamond" w:cstheme="minorHAnsi"/>
          <w:i/>
          <w:sz w:val="24"/>
          <w:szCs w:val="24"/>
        </w:rPr>
        <w:t>El Ministerio de Trabajo, Empleo y Seguridad Social podrá autorizar excepciones particulares al "aislamiento social, preventivo y obligatorio" y a la "prohibición de circular", para las personas afectadas a las actividades y servicios vinculados a "obras privadas" que ocupen a más trabajadores de los indicados en el artículo 1° del presente decreto y en el inciso a) del artículo 1 del Decreto N°°0446/20, en las mismos términos y condiciones que en los mismos se establecen, si las solicitudes son presentadas acompañadas de la opinión favorable de las autoridades municipales del lugar donde se encuentra localizada la obra, tanto en relación a la cantidad de personas a ocupar de manera simultánea como del protocolo particular a aplicar</w:t>
      </w:r>
      <w:r w:rsidRPr="00D03BB0">
        <w:rPr>
          <w:rFonts w:ascii="Garamond" w:hAnsi="Garamond" w:cstheme="minorHAnsi"/>
          <w:sz w:val="24"/>
          <w:szCs w:val="24"/>
        </w:rPr>
        <w:t>.”</w:t>
      </w:r>
    </w:p>
    <w:p w:rsidR="00D03BB0" w:rsidRPr="00D03BB0" w:rsidRDefault="00D03BB0" w:rsidP="00D03BB0">
      <w:pPr>
        <w:widowControl w:val="0"/>
        <w:autoSpaceDE w:val="0"/>
        <w:autoSpaceDN w:val="0"/>
        <w:adjustRightInd w:val="0"/>
        <w:spacing w:before="120" w:after="120" w:line="360" w:lineRule="auto"/>
        <w:ind w:firstLine="851"/>
        <w:jc w:val="both"/>
        <w:rPr>
          <w:rFonts w:ascii="Garamond" w:hAnsi="Garamond" w:cstheme="minorHAnsi"/>
          <w:sz w:val="24"/>
          <w:szCs w:val="24"/>
        </w:rPr>
      </w:pPr>
      <w:r w:rsidRPr="00D03BB0">
        <w:rPr>
          <w:rFonts w:ascii="Garamond" w:hAnsi="Garamond" w:cstheme="minorHAnsi"/>
          <w:sz w:val="24"/>
          <w:szCs w:val="24"/>
        </w:rPr>
        <w:t xml:space="preserve">Que por su parte, el artículo 3 establece la obligatoriedad de la implementación y cumplimiento de los protocolos establecidos (generales y particular de </w:t>
      </w:r>
      <w:r>
        <w:rPr>
          <w:rFonts w:ascii="Garamond" w:hAnsi="Garamond" w:cstheme="minorHAnsi"/>
          <w:sz w:val="24"/>
          <w:szCs w:val="24"/>
        </w:rPr>
        <w:t>cada</w:t>
      </w:r>
      <w:r w:rsidRPr="00D03BB0">
        <w:rPr>
          <w:rFonts w:ascii="Garamond" w:hAnsi="Garamond" w:cstheme="minorHAnsi"/>
          <w:sz w:val="24"/>
          <w:szCs w:val="24"/>
        </w:rPr>
        <w:t xml:space="preserve"> obra),  siguiendo las recomendaciones e instrucciones de la autoridad sanitaria.</w:t>
      </w:r>
    </w:p>
    <w:p w:rsidR="00D03BB0" w:rsidRPr="00D03BB0" w:rsidRDefault="00D03BB0" w:rsidP="00D03BB0">
      <w:pPr>
        <w:widowControl w:val="0"/>
        <w:autoSpaceDE w:val="0"/>
        <w:autoSpaceDN w:val="0"/>
        <w:adjustRightInd w:val="0"/>
        <w:spacing w:before="120" w:after="120" w:line="360" w:lineRule="auto"/>
        <w:ind w:firstLine="851"/>
        <w:jc w:val="both"/>
        <w:rPr>
          <w:rFonts w:ascii="Garamond" w:hAnsi="Garamond" w:cstheme="minorHAnsi"/>
          <w:sz w:val="24"/>
          <w:szCs w:val="24"/>
        </w:rPr>
      </w:pPr>
      <w:r w:rsidRPr="00D03BB0">
        <w:rPr>
          <w:rFonts w:ascii="Garamond" w:hAnsi="Garamond" w:cstheme="minorHAnsi"/>
          <w:sz w:val="24"/>
          <w:szCs w:val="24"/>
        </w:rPr>
        <w:t xml:space="preserve">Que a raíz de la normativa citada, corresponde establecer el procedimiento por medio del cual este Ministerio de Trabajo, Empleo y Seguridad Social prestará la autorización requerida para las obras particulares que ocupen a más de 10 trabajadores. </w:t>
      </w:r>
      <w:r>
        <w:rPr>
          <w:rFonts w:ascii="Garamond" w:hAnsi="Garamond" w:cstheme="minorHAnsi"/>
          <w:sz w:val="24"/>
          <w:szCs w:val="24"/>
        </w:rPr>
        <w:t>Es así que e</w:t>
      </w:r>
      <w:r w:rsidRPr="00D03BB0">
        <w:rPr>
          <w:rFonts w:ascii="Garamond" w:hAnsi="Garamond" w:cstheme="minorHAnsi"/>
          <w:sz w:val="24"/>
          <w:szCs w:val="24"/>
        </w:rPr>
        <w:t xml:space="preserve">l procedimiento establecido consiste en la carga de datos en formulario virtual por parte de los </w:t>
      </w:r>
      <w:r w:rsidRPr="00D03BB0">
        <w:rPr>
          <w:rFonts w:ascii="Garamond" w:hAnsi="Garamond" w:cstheme="minorHAnsi"/>
          <w:sz w:val="24"/>
          <w:szCs w:val="24"/>
        </w:rPr>
        <w:lastRenderedPageBreak/>
        <w:t xml:space="preserve">responsables de las obras particulares que cuenten con la autorización previa municipal correspondiente, cargando además los protocolos específicos por obra a autorizar. Por </w:t>
      </w:r>
      <w:r>
        <w:rPr>
          <w:rFonts w:ascii="Garamond" w:hAnsi="Garamond" w:cstheme="minorHAnsi"/>
          <w:sz w:val="24"/>
          <w:szCs w:val="24"/>
        </w:rPr>
        <w:t>otra parte</w:t>
      </w:r>
      <w:r w:rsidRPr="00D03BB0">
        <w:rPr>
          <w:rFonts w:ascii="Garamond" w:hAnsi="Garamond" w:cstheme="minorHAnsi"/>
          <w:sz w:val="24"/>
          <w:szCs w:val="24"/>
        </w:rPr>
        <w:t xml:space="preserve">, las municipalidades y comunas deberán a su vez informar a este Ministerio sobre las obras que cuentan con autorización o visto favorable, a los efectos de un mayor y mejor contralor a los efectos de las tareas de fiscalización propias. </w:t>
      </w:r>
    </w:p>
    <w:p w:rsidR="00D03BB0" w:rsidRPr="00D03BB0" w:rsidRDefault="00D03BB0" w:rsidP="00D03BB0">
      <w:pPr>
        <w:widowControl w:val="0"/>
        <w:autoSpaceDE w:val="0"/>
        <w:autoSpaceDN w:val="0"/>
        <w:adjustRightInd w:val="0"/>
        <w:spacing w:before="120" w:after="120" w:line="360" w:lineRule="auto"/>
        <w:ind w:firstLine="851"/>
        <w:jc w:val="both"/>
        <w:rPr>
          <w:rFonts w:ascii="Garamond" w:hAnsi="Garamond" w:cstheme="minorHAnsi"/>
          <w:sz w:val="24"/>
          <w:szCs w:val="24"/>
        </w:rPr>
      </w:pPr>
      <w:r w:rsidRPr="00D03BB0">
        <w:rPr>
          <w:rFonts w:ascii="Garamond" w:hAnsi="Garamond" w:cstheme="minorHAnsi"/>
          <w:sz w:val="24"/>
          <w:szCs w:val="24"/>
        </w:rPr>
        <w:t>Por lo expuesto, y conforme la normativa y fundamentos referidos,</w:t>
      </w:r>
    </w:p>
    <w:p w:rsidR="00D03BB0" w:rsidRPr="00D03BB0" w:rsidRDefault="00D03BB0" w:rsidP="00D03BB0">
      <w:pPr>
        <w:widowControl w:val="0"/>
        <w:autoSpaceDE w:val="0"/>
        <w:autoSpaceDN w:val="0"/>
        <w:adjustRightInd w:val="0"/>
        <w:spacing w:before="120" w:after="120" w:line="360" w:lineRule="auto"/>
        <w:jc w:val="center"/>
        <w:rPr>
          <w:rFonts w:ascii="Garamond" w:hAnsi="Garamond" w:cstheme="minorHAnsi"/>
          <w:sz w:val="24"/>
          <w:szCs w:val="24"/>
        </w:rPr>
      </w:pPr>
      <w:r w:rsidRPr="00D03BB0">
        <w:rPr>
          <w:rFonts w:ascii="Garamond" w:hAnsi="Garamond" w:cstheme="minorHAnsi"/>
          <w:sz w:val="24"/>
          <w:szCs w:val="24"/>
        </w:rPr>
        <w:t>EL MINISTRO DE TRABAJO, EMPLEO Y SEGURIDAD SOCIAL</w:t>
      </w:r>
    </w:p>
    <w:p w:rsidR="00D03BB0" w:rsidRPr="00D03BB0" w:rsidRDefault="00D03BB0" w:rsidP="00D03BB0">
      <w:pPr>
        <w:widowControl w:val="0"/>
        <w:autoSpaceDE w:val="0"/>
        <w:autoSpaceDN w:val="0"/>
        <w:adjustRightInd w:val="0"/>
        <w:spacing w:before="120" w:after="120" w:line="360" w:lineRule="auto"/>
        <w:jc w:val="center"/>
        <w:rPr>
          <w:rFonts w:ascii="Garamond" w:hAnsi="Garamond" w:cstheme="minorHAnsi"/>
          <w:sz w:val="24"/>
          <w:szCs w:val="24"/>
        </w:rPr>
      </w:pPr>
      <w:r w:rsidRPr="00D03BB0">
        <w:rPr>
          <w:rFonts w:ascii="Garamond" w:hAnsi="Garamond" w:cstheme="minorHAnsi"/>
          <w:sz w:val="24"/>
          <w:szCs w:val="24"/>
        </w:rPr>
        <w:t>RESUELVE:</w:t>
      </w:r>
    </w:p>
    <w:p w:rsidR="00D03BB0" w:rsidRPr="00D03BB0" w:rsidRDefault="00D03BB0" w:rsidP="00D03BB0">
      <w:pPr>
        <w:widowControl w:val="0"/>
        <w:autoSpaceDE w:val="0"/>
        <w:autoSpaceDN w:val="0"/>
        <w:adjustRightInd w:val="0"/>
        <w:spacing w:before="120" w:after="120" w:line="360" w:lineRule="auto"/>
        <w:jc w:val="both"/>
        <w:rPr>
          <w:rFonts w:ascii="Garamond" w:hAnsi="Garamond" w:cstheme="minorHAnsi"/>
          <w:sz w:val="24"/>
          <w:szCs w:val="24"/>
        </w:rPr>
      </w:pPr>
      <w:r w:rsidRPr="00D03BB0">
        <w:rPr>
          <w:rFonts w:ascii="Garamond" w:hAnsi="Garamond" w:cstheme="minorHAnsi"/>
          <w:sz w:val="24"/>
          <w:szCs w:val="24"/>
        </w:rPr>
        <w:t>Artículo 1. Las obras particulares descriptas en el artículo 1 del Decreto Provincial N° 456/20 no requieren autorización del Ministerio de Trabajo, Empleo y Seguridad Social, bastando la autorización municipal correspondiente.</w:t>
      </w:r>
    </w:p>
    <w:p w:rsidR="00D03BB0" w:rsidRPr="00D03BB0" w:rsidRDefault="00D03BB0" w:rsidP="00D03BB0">
      <w:pPr>
        <w:widowControl w:val="0"/>
        <w:autoSpaceDE w:val="0"/>
        <w:autoSpaceDN w:val="0"/>
        <w:adjustRightInd w:val="0"/>
        <w:spacing w:before="120" w:after="120" w:line="360" w:lineRule="auto"/>
        <w:jc w:val="both"/>
        <w:rPr>
          <w:rFonts w:ascii="Garamond" w:hAnsi="Garamond" w:cstheme="minorHAnsi"/>
          <w:sz w:val="24"/>
          <w:szCs w:val="24"/>
        </w:rPr>
      </w:pPr>
      <w:r w:rsidRPr="00D03BB0">
        <w:rPr>
          <w:rFonts w:ascii="Garamond" w:hAnsi="Garamond" w:cstheme="minorHAnsi"/>
          <w:sz w:val="24"/>
          <w:szCs w:val="24"/>
        </w:rPr>
        <w:t xml:space="preserve">Artículo 2. Las personas responsables de las obras particulares descriptas en el artículo 2 del Decreto Provincial N° 456/20 y que cuenten con el permiso municipal para desarrollo de la obra, solicitarán la autorización al Ministerio de Trabajo, Empleo y Seguridad Social por medio del formulario virtual sito en </w:t>
      </w:r>
      <w:hyperlink r:id="rId8" w:history="1">
        <w:r w:rsidRPr="00D03BB0">
          <w:rPr>
            <w:rFonts w:ascii="Garamond" w:hAnsi="Garamond" w:cstheme="minorHAnsi"/>
            <w:sz w:val="24"/>
            <w:szCs w:val="24"/>
          </w:rPr>
          <w:t>https://aswe.santafe.go</w:t>
        </w:r>
        <w:r w:rsidRPr="00D03BB0">
          <w:rPr>
            <w:rFonts w:ascii="Garamond" w:hAnsi="Garamond" w:cstheme="minorHAnsi"/>
            <w:sz w:val="24"/>
            <w:szCs w:val="24"/>
          </w:rPr>
          <w:t>v</w:t>
        </w:r>
        <w:r w:rsidRPr="00D03BB0">
          <w:rPr>
            <w:rFonts w:ascii="Garamond" w:hAnsi="Garamond" w:cstheme="minorHAnsi"/>
            <w:sz w:val="24"/>
            <w:szCs w:val="24"/>
          </w:rPr>
          <w:t>.ar/form</w:t>
        </w:r>
        <w:r w:rsidRPr="00D03BB0">
          <w:rPr>
            <w:rFonts w:ascii="Garamond" w:hAnsi="Garamond" w:cstheme="minorHAnsi"/>
            <w:sz w:val="24"/>
            <w:szCs w:val="24"/>
          </w:rPr>
          <w:t>u</w:t>
        </w:r>
        <w:r w:rsidRPr="00D03BB0">
          <w:rPr>
            <w:rFonts w:ascii="Garamond" w:hAnsi="Garamond" w:cstheme="minorHAnsi"/>
            <w:sz w:val="24"/>
            <w:szCs w:val="24"/>
          </w:rPr>
          <w:t>lario_excepcion_covid19</w:t>
        </w:r>
      </w:hyperlink>
      <w:r w:rsidRPr="00D03BB0">
        <w:rPr>
          <w:rFonts w:ascii="Garamond" w:hAnsi="Garamond" w:cstheme="minorHAnsi"/>
          <w:sz w:val="24"/>
          <w:szCs w:val="24"/>
        </w:rPr>
        <w:t>.</w:t>
      </w:r>
    </w:p>
    <w:p w:rsidR="00D03BB0" w:rsidRPr="00D03BB0" w:rsidRDefault="00D03BB0" w:rsidP="00D03BB0">
      <w:pPr>
        <w:widowControl w:val="0"/>
        <w:autoSpaceDE w:val="0"/>
        <w:autoSpaceDN w:val="0"/>
        <w:adjustRightInd w:val="0"/>
        <w:spacing w:before="120" w:after="120" w:line="360" w:lineRule="auto"/>
        <w:jc w:val="both"/>
        <w:rPr>
          <w:rFonts w:ascii="Garamond" w:hAnsi="Garamond" w:cstheme="minorHAnsi"/>
          <w:sz w:val="24"/>
          <w:szCs w:val="24"/>
        </w:rPr>
      </w:pPr>
      <w:r w:rsidRPr="00D03BB0">
        <w:rPr>
          <w:rFonts w:ascii="Garamond" w:hAnsi="Garamond" w:cstheme="minorHAnsi"/>
          <w:sz w:val="24"/>
          <w:szCs w:val="24"/>
        </w:rPr>
        <w:t xml:space="preserve">Artículo 3. Los municipios y comunas que autoricen obras particulares en el marco del artículo 2 del Decreto Provincial N° 456/20 deben informar diariamente al Ministerio de Trabajo, Empleo y Seguridad Social sobre las autorizaciones otorgadas, mediante carga de datos por medio del formulario virtual sito en </w:t>
      </w:r>
      <w:hyperlink r:id="rId9" w:history="1">
        <w:r w:rsidRPr="00D03BB0">
          <w:rPr>
            <w:rFonts w:ascii="Garamond" w:hAnsi="Garamond" w:cstheme="minorHAnsi"/>
            <w:sz w:val="24"/>
            <w:szCs w:val="24"/>
          </w:rPr>
          <w:t>https://aswe.santafe.gov.ar/obra</w:t>
        </w:r>
        <w:r w:rsidRPr="00D03BB0">
          <w:rPr>
            <w:rFonts w:ascii="Garamond" w:hAnsi="Garamond" w:cstheme="minorHAnsi"/>
            <w:sz w:val="24"/>
            <w:szCs w:val="24"/>
          </w:rPr>
          <w:t>s</w:t>
        </w:r>
        <w:r w:rsidRPr="00D03BB0">
          <w:rPr>
            <w:rFonts w:ascii="Garamond" w:hAnsi="Garamond" w:cstheme="minorHAnsi"/>
            <w:sz w:val="24"/>
            <w:szCs w:val="24"/>
          </w:rPr>
          <w:t>_particulares_municipios_comunas/</w:t>
        </w:r>
      </w:hyperlink>
      <w:r>
        <w:rPr>
          <w:rFonts w:ascii="Garamond" w:hAnsi="Garamond" w:cstheme="minorHAnsi"/>
          <w:sz w:val="24"/>
          <w:szCs w:val="24"/>
        </w:rPr>
        <w:t>.</w:t>
      </w:r>
    </w:p>
    <w:p w:rsidR="00D03BB0" w:rsidRPr="00D03BB0" w:rsidRDefault="00D03BB0" w:rsidP="00D03BB0">
      <w:pPr>
        <w:widowControl w:val="0"/>
        <w:autoSpaceDE w:val="0"/>
        <w:autoSpaceDN w:val="0"/>
        <w:adjustRightInd w:val="0"/>
        <w:spacing w:before="120" w:after="120" w:line="360" w:lineRule="auto"/>
        <w:jc w:val="both"/>
        <w:rPr>
          <w:rFonts w:ascii="Garamond" w:hAnsi="Garamond" w:cstheme="minorHAnsi"/>
          <w:sz w:val="24"/>
          <w:szCs w:val="24"/>
        </w:rPr>
      </w:pPr>
      <w:r w:rsidRPr="00D03BB0">
        <w:rPr>
          <w:rFonts w:ascii="Garamond" w:hAnsi="Garamond" w:cstheme="minorHAnsi"/>
          <w:sz w:val="24"/>
          <w:szCs w:val="24"/>
        </w:rPr>
        <w:t>Artículo 4. El Ministerio de Trabajo, Empleo y Seguridad Social informará a los municipios y comunas sobre las autorizaciones otorgadas.</w:t>
      </w:r>
    </w:p>
    <w:p w:rsidR="00D03BB0" w:rsidRPr="00D03BB0" w:rsidRDefault="00D03BB0" w:rsidP="00D03BB0">
      <w:pPr>
        <w:widowControl w:val="0"/>
        <w:autoSpaceDE w:val="0"/>
        <w:autoSpaceDN w:val="0"/>
        <w:adjustRightInd w:val="0"/>
        <w:spacing w:before="120" w:after="120" w:line="360" w:lineRule="auto"/>
        <w:jc w:val="both"/>
        <w:rPr>
          <w:rFonts w:ascii="Garamond" w:hAnsi="Garamond" w:cstheme="minorHAnsi"/>
          <w:sz w:val="24"/>
          <w:szCs w:val="24"/>
        </w:rPr>
      </w:pPr>
      <w:r w:rsidRPr="00D03BB0">
        <w:rPr>
          <w:rFonts w:ascii="Garamond" w:hAnsi="Garamond" w:cstheme="minorHAnsi"/>
          <w:sz w:val="24"/>
          <w:szCs w:val="24"/>
        </w:rPr>
        <w:t>Artículo 5. Registrar, comunicar y archivar.</w:t>
      </w:r>
    </w:p>
    <w:p w:rsidR="00D03BB0" w:rsidRDefault="00D03BB0" w:rsidP="00D03BB0">
      <w:pPr>
        <w:jc w:val="both"/>
      </w:pPr>
    </w:p>
    <w:p w:rsidR="00241349" w:rsidRPr="00187633" w:rsidRDefault="00187633" w:rsidP="00D03BB0">
      <w:pPr>
        <w:pStyle w:val="Prrafodelista"/>
        <w:tabs>
          <w:tab w:val="left" w:pos="426"/>
        </w:tabs>
        <w:spacing w:line="360" w:lineRule="auto"/>
        <w:ind w:left="0"/>
        <w:jc w:val="both"/>
        <w:rPr>
          <w:rFonts w:ascii="Garamond" w:hAnsi="Garamond" w:cstheme="minorHAnsi"/>
          <w:sz w:val="24"/>
          <w:szCs w:val="24"/>
        </w:rPr>
      </w:pPr>
      <w:r w:rsidRPr="00187633">
        <w:rPr>
          <w:rFonts w:ascii="Garamond" w:hAnsi="Garamond" w:cstheme="minorHAnsi"/>
          <w:sz w:val="24"/>
          <w:szCs w:val="24"/>
        </w:rPr>
        <w:t xml:space="preserve"> </w:t>
      </w:r>
    </w:p>
    <w:sectPr w:rsidR="00241349" w:rsidRPr="00187633" w:rsidSect="0013035B">
      <w:headerReference w:type="default" r:id="rId10"/>
      <w:footerReference w:type="default" r:id="rId11"/>
      <w:pgSz w:w="11906" w:h="16838"/>
      <w:pgMar w:top="2644" w:right="1134" w:bottom="1134" w:left="1985" w:header="720" w:footer="761"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596C" w:rsidRDefault="00C6596C" w:rsidP="00D10CF5">
      <w:r>
        <w:separator/>
      </w:r>
    </w:p>
  </w:endnote>
  <w:endnote w:type="continuationSeparator" w:id="1">
    <w:p w:rsidR="00C6596C" w:rsidRDefault="00C6596C" w:rsidP="00D10C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angal">
    <w:altName w:val="Courier New"/>
    <w:panose1 w:val="00000400000000000000"/>
    <w:charset w:val="01"/>
    <w:family w:val="roman"/>
    <w:notTrueType/>
    <w:pitch w:val="variable"/>
    <w:sig w:usb0="00002000" w:usb1="00000000" w:usb2="00000000" w:usb3="00000000" w:csb0="0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035B" w:rsidRDefault="0013035B" w:rsidP="00D10CF5">
    <w:pPr>
      <w:pStyle w:val="Piedepgina"/>
      <w:jc w:val="center"/>
      <w:rPr>
        <w:rFonts w:ascii="Monotype Corsiva" w:hAnsi="Monotype Corsiva"/>
        <w:sz w:val="20"/>
        <w:szCs w:val="20"/>
      </w:rPr>
    </w:pPr>
  </w:p>
  <w:p w:rsidR="00D10CF5" w:rsidRPr="00EC2F0D" w:rsidRDefault="00D10CF5" w:rsidP="00D10CF5">
    <w:pPr>
      <w:pStyle w:val="Piedepgina"/>
      <w:jc w:val="center"/>
      <w:rPr>
        <w:rFonts w:ascii="Monotype Corsiva" w:hAnsi="Monotype Corsiva"/>
        <w:sz w:val="20"/>
        <w:szCs w:val="20"/>
      </w:rPr>
    </w:pPr>
    <w:r w:rsidRPr="00EC2F0D">
      <w:rPr>
        <w:rFonts w:ascii="Monotype Corsiva" w:hAnsi="Monotype Corsiva"/>
        <w:sz w:val="20"/>
        <w:szCs w:val="20"/>
      </w:rPr>
      <w:t>“2020 – Año del Gral. Manuel Belgrano”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596C" w:rsidRDefault="00C6596C" w:rsidP="00D10CF5">
      <w:r>
        <w:separator/>
      </w:r>
    </w:p>
  </w:footnote>
  <w:footnote w:type="continuationSeparator" w:id="1">
    <w:p w:rsidR="00C6596C" w:rsidRDefault="00C6596C" w:rsidP="00D10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66A59" w:rsidRPr="008578CC" w:rsidRDefault="00C66A59" w:rsidP="00C66A59">
    <w:pPr>
      <w:pStyle w:val="Encabezado"/>
      <w:jc w:val="center"/>
      <w:rPr>
        <w:i/>
        <w:iCs/>
        <w:sz w:val="18"/>
        <w:szCs w:val="18"/>
      </w:rPr>
    </w:pPr>
    <w:r w:rsidRPr="008578CC">
      <w:rPr>
        <w:sz w:val="18"/>
        <w:szCs w:val="18"/>
      </w:rPr>
      <w:object w:dxaOrig="4920" w:dyaOrig="59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8pt;height:48.2pt" o:ole="" filled="t">
          <v:fill color2="black"/>
          <v:imagedata r:id="rId1" o:title=""/>
        </v:shape>
        <o:OLEObject Type="Embed" ProgID="Word.Picture.8" ShapeID="_x0000_i1025" DrawAspect="Content" ObjectID="_1652887080" r:id="rId2"/>
      </w:object>
    </w:r>
  </w:p>
  <w:p w:rsidR="00C66A59" w:rsidRPr="008578CC" w:rsidRDefault="00C66A59" w:rsidP="00C66A59">
    <w:pPr>
      <w:pStyle w:val="Encabezado"/>
      <w:jc w:val="center"/>
      <w:rPr>
        <w:sz w:val="18"/>
        <w:szCs w:val="18"/>
      </w:rPr>
    </w:pPr>
    <w:r w:rsidRPr="008578CC">
      <w:rPr>
        <w:i/>
        <w:iCs/>
        <w:sz w:val="18"/>
        <w:szCs w:val="18"/>
      </w:rPr>
      <w:t>Provincia de Santa Fe</w:t>
    </w:r>
  </w:p>
  <w:p w:rsidR="00C66A59" w:rsidRPr="008578CC" w:rsidRDefault="00C66A59" w:rsidP="00C66A59">
    <w:pPr>
      <w:pStyle w:val="Encabezado"/>
      <w:jc w:val="center"/>
      <w:rPr>
        <w:sz w:val="18"/>
        <w:szCs w:val="18"/>
      </w:rPr>
    </w:pPr>
    <w:r w:rsidRPr="008578CC">
      <w:rPr>
        <w:sz w:val="18"/>
        <w:szCs w:val="18"/>
      </w:rPr>
      <w:t>Ministerio de Trabajo, Empleo y</w:t>
    </w:r>
  </w:p>
  <w:p w:rsidR="00C66A59" w:rsidRDefault="00C66A59" w:rsidP="00C66A59">
    <w:pPr>
      <w:pStyle w:val="Encabezado"/>
      <w:jc w:val="center"/>
    </w:pPr>
    <w:r w:rsidRPr="008578CC">
      <w:rPr>
        <w:sz w:val="18"/>
        <w:szCs w:val="18"/>
      </w:rPr>
      <w:t>Seguridad Social</w:t>
    </w:r>
  </w:p>
  <w:p w:rsidR="00C66A59" w:rsidRDefault="00C66A59">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EF0060"/>
    <w:multiLevelType w:val="hybridMultilevel"/>
    <w:tmpl w:val="4E32417C"/>
    <w:lvl w:ilvl="0" w:tplc="C570ECCE">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nsid w:val="56E42163"/>
    <w:multiLevelType w:val="hybridMultilevel"/>
    <w:tmpl w:val="F8602F58"/>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mirrorMargins/>
  <w:proofState w:spelling="clean" w:grammar="clean"/>
  <w:stylePaneFormatFilter w:val="000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32770"/>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AF41F3"/>
    <w:rsid w:val="00011315"/>
    <w:rsid w:val="0001683D"/>
    <w:rsid w:val="0002013A"/>
    <w:rsid w:val="00030B03"/>
    <w:rsid w:val="00061682"/>
    <w:rsid w:val="00073691"/>
    <w:rsid w:val="00082533"/>
    <w:rsid w:val="00097522"/>
    <w:rsid w:val="000A792E"/>
    <w:rsid w:val="000B38D2"/>
    <w:rsid w:val="000D10DE"/>
    <w:rsid w:val="001100D1"/>
    <w:rsid w:val="0013035B"/>
    <w:rsid w:val="001350F7"/>
    <w:rsid w:val="00144AEB"/>
    <w:rsid w:val="001463DD"/>
    <w:rsid w:val="00152D21"/>
    <w:rsid w:val="00153A30"/>
    <w:rsid w:val="00187633"/>
    <w:rsid w:val="001C5720"/>
    <w:rsid w:val="00210301"/>
    <w:rsid w:val="00220B41"/>
    <w:rsid w:val="00241349"/>
    <w:rsid w:val="00255EE6"/>
    <w:rsid w:val="0029452B"/>
    <w:rsid w:val="0029629D"/>
    <w:rsid w:val="002F1CBE"/>
    <w:rsid w:val="0032504C"/>
    <w:rsid w:val="00353438"/>
    <w:rsid w:val="0037226D"/>
    <w:rsid w:val="0039065E"/>
    <w:rsid w:val="00470E25"/>
    <w:rsid w:val="00471EF5"/>
    <w:rsid w:val="004741C0"/>
    <w:rsid w:val="00481ECD"/>
    <w:rsid w:val="00482644"/>
    <w:rsid w:val="004B2117"/>
    <w:rsid w:val="004B5518"/>
    <w:rsid w:val="004D6440"/>
    <w:rsid w:val="004F1675"/>
    <w:rsid w:val="005058F3"/>
    <w:rsid w:val="00506717"/>
    <w:rsid w:val="005166AD"/>
    <w:rsid w:val="005422E4"/>
    <w:rsid w:val="0055286C"/>
    <w:rsid w:val="00574BDB"/>
    <w:rsid w:val="005A7323"/>
    <w:rsid w:val="005E69CA"/>
    <w:rsid w:val="005F4D4F"/>
    <w:rsid w:val="00676722"/>
    <w:rsid w:val="00676CBB"/>
    <w:rsid w:val="0069044D"/>
    <w:rsid w:val="006B5453"/>
    <w:rsid w:val="0072559B"/>
    <w:rsid w:val="00733B03"/>
    <w:rsid w:val="00780F2A"/>
    <w:rsid w:val="007A7341"/>
    <w:rsid w:val="007C2E3C"/>
    <w:rsid w:val="00803FD9"/>
    <w:rsid w:val="008578CC"/>
    <w:rsid w:val="008631E1"/>
    <w:rsid w:val="008A4FF6"/>
    <w:rsid w:val="008B422A"/>
    <w:rsid w:val="009A317E"/>
    <w:rsid w:val="009C3DFC"/>
    <w:rsid w:val="009C5521"/>
    <w:rsid w:val="009E7975"/>
    <w:rsid w:val="00A055DD"/>
    <w:rsid w:val="00A13635"/>
    <w:rsid w:val="00A30790"/>
    <w:rsid w:val="00A51383"/>
    <w:rsid w:val="00A61056"/>
    <w:rsid w:val="00A62ABA"/>
    <w:rsid w:val="00A77313"/>
    <w:rsid w:val="00AC1F82"/>
    <w:rsid w:val="00AF41F3"/>
    <w:rsid w:val="00B777CD"/>
    <w:rsid w:val="00B97DB7"/>
    <w:rsid w:val="00C13905"/>
    <w:rsid w:val="00C1786E"/>
    <w:rsid w:val="00C51E97"/>
    <w:rsid w:val="00C6596C"/>
    <w:rsid w:val="00C66A59"/>
    <w:rsid w:val="00C66B58"/>
    <w:rsid w:val="00CB4320"/>
    <w:rsid w:val="00CB44B0"/>
    <w:rsid w:val="00CE26DC"/>
    <w:rsid w:val="00CF083F"/>
    <w:rsid w:val="00D03BB0"/>
    <w:rsid w:val="00D10CF5"/>
    <w:rsid w:val="00D23FC2"/>
    <w:rsid w:val="00D2465E"/>
    <w:rsid w:val="00D25DBB"/>
    <w:rsid w:val="00D86ABF"/>
    <w:rsid w:val="00D93FF3"/>
    <w:rsid w:val="00DE3515"/>
    <w:rsid w:val="00E20A4F"/>
    <w:rsid w:val="00E621E0"/>
    <w:rsid w:val="00E9718C"/>
    <w:rsid w:val="00EA4299"/>
    <w:rsid w:val="00EC2F0D"/>
    <w:rsid w:val="00ED31D8"/>
    <w:rsid w:val="00EF0651"/>
    <w:rsid w:val="00F045D0"/>
    <w:rsid w:val="00F06497"/>
    <w:rsid w:val="00F434B6"/>
    <w:rsid w:val="00F45687"/>
    <w:rsid w:val="00F835FA"/>
    <w:rsid w:val="00FA2656"/>
  </w:rsids>
  <m:mathPr>
    <m:mathFont m:val="Cambria Math"/>
    <m:brkBin m:val="before"/>
    <m:brkBinSub m:val="--"/>
    <m:smallFrac m:val="off"/>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422A"/>
    <w:pPr>
      <w:suppressAutoHyphens/>
    </w:pPr>
    <w:rPr>
      <w:rFonts w:ascii="Arial" w:eastAsia="Arial" w:hAnsi="Arial" w:cs="Arial"/>
      <w:kern w:val="1"/>
      <w:sz w:val="22"/>
      <w:szCs w:val="22"/>
      <w:lang w:val="es-ES_tradnl" w:eastAsia="zh-CN" w:bidi="hi-I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8B422A"/>
  </w:style>
  <w:style w:type="character" w:customStyle="1" w:styleId="WW-Absatz-Standardschriftart">
    <w:name w:val="WW-Absatz-Standardschriftart"/>
    <w:rsid w:val="008B422A"/>
  </w:style>
  <w:style w:type="character" w:customStyle="1" w:styleId="WW-Absatz-Standardschriftart1">
    <w:name w:val="WW-Absatz-Standardschriftart1"/>
    <w:rsid w:val="008B422A"/>
  </w:style>
  <w:style w:type="character" w:customStyle="1" w:styleId="WW-Absatz-Standardschriftart11">
    <w:name w:val="WW-Absatz-Standardschriftart11"/>
    <w:rsid w:val="008B422A"/>
  </w:style>
  <w:style w:type="character" w:customStyle="1" w:styleId="WW-Absatz-Standardschriftart111">
    <w:name w:val="WW-Absatz-Standardschriftart111"/>
    <w:rsid w:val="008B422A"/>
  </w:style>
  <w:style w:type="character" w:customStyle="1" w:styleId="WW-Absatz-Standardschriftart1111">
    <w:name w:val="WW-Absatz-Standardschriftart1111"/>
    <w:rsid w:val="008B422A"/>
  </w:style>
  <w:style w:type="character" w:customStyle="1" w:styleId="WW-Absatz-Standardschriftart11111">
    <w:name w:val="WW-Absatz-Standardschriftart11111"/>
    <w:rsid w:val="008B422A"/>
  </w:style>
  <w:style w:type="character" w:customStyle="1" w:styleId="WW-Absatz-Standardschriftart111111">
    <w:name w:val="WW-Absatz-Standardschriftart111111"/>
    <w:rsid w:val="008B422A"/>
  </w:style>
  <w:style w:type="character" w:customStyle="1" w:styleId="WW-Absatz-Standardschriftart1111111">
    <w:name w:val="WW-Absatz-Standardschriftart1111111"/>
    <w:rsid w:val="008B422A"/>
  </w:style>
  <w:style w:type="character" w:customStyle="1" w:styleId="WW-Absatz-Standardschriftart11111111">
    <w:name w:val="WW-Absatz-Standardschriftart11111111"/>
    <w:rsid w:val="008B422A"/>
  </w:style>
  <w:style w:type="character" w:customStyle="1" w:styleId="Fuentedeprrafopredeter1">
    <w:name w:val="Fuente de párrafo predeter.1"/>
    <w:rsid w:val="008B422A"/>
  </w:style>
  <w:style w:type="paragraph" w:customStyle="1" w:styleId="Encabezado1">
    <w:name w:val="Encabezado1"/>
    <w:basedOn w:val="Normal"/>
    <w:next w:val="Textoindependiente"/>
    <w:rsid w:val="008B422A"/>
    <w:pPr>
      <w:keepNext/>
      <w:spacing w:before="240" w:after="120"/>
    </w:pPr>
    <w:rPr>
      <w:rFonts w:eastAsia="Lucida Sans Unicode" w:cs="Mangal"/>
      <w:sz w:val="28"/>
      <w:szCs w:val="28"/>
    </w:rPr>
  </w:style>
  <w:style w:type="paragraph" w:styleId="Textoindependiente">
    <w:name w:val="Body Text"/>
    <w:basedOn w:val="Normal"/>
    <w:rsid w:val="008B422A"/>
    <w:pPr>
      <w:spacing w:after="120"/>
    </w:pPr>
  </w:style>
  <w:style w:type="paragraph" w:styleId="Lista">
    <w:name w:val="List"/>
    <w:basedOn w:val="Textoindependiente"/>
    <w:rsid w:val="008B422A"/>
    <w:rPr>
      <w:rFonts w:cs="Mangal"/>
    </w:rPr>
  </w:style>
  <w:style w:type="paragraph" w:styleId="Epgrafe">
    <w:name w:val="caption"/>
    <w:basedOn w:val="Normal"/>
    <w:qFormat/>
    <w:rsid w:val="008B422A"/>
    <w:pPr>
      <w:suppressLineNumbers/>
      <w:spacing w:before="120" w:after="120"/>
    </w:pPr>
    <w:rPr>
      <w:rFonts w:cs="Mangal"/>
      <w:i/>
      <w:iCs/>
      <w:sz w:val="24"/>
      <w:szCs w:val="24"/>
    </w:rPr>
  </w:style>
  <w:style w:type="paragraph" w:customStyle="1" w:styleId="ndice">
    <w:name w:val="Índice"/>
    <w:basedOn w:val="Normal"/>
    <w:rsid w:val="008B422A"/>
    <w:pPr>
      <w:suppressLineNumbers/>
    </w:pPr>
    <w:rPr>
      <w:rFonts w:cs="Mangal"/>
    </w:rPr>
  </w:style>
  <w:style w:type="paragraph" w:customStyle="1" w:styleId="Textoindependiente21">
    <w:name w:val="Texto independiente 21"/>
    <w:basedOn w:val="Normal"/>
    <w:rsid w:val="008B422A"/>
    <w:pPr>
      <w:spacing w:after="120"/>
      <w:ind w:firstLine="1985"/>
      <w:jc w:val="both"/>
    </w:pPr>
    <w:rPr>
      <w:rFonts w:ascii="Garamond" w:eastAsia="Garamond" w:hAnsi="Garamond" w:cs="Garamond"/>
    </w:rPr>
  </w:style>
  <w:style w:type="paragraph" w:customStyle="1" w:styleId="WW-BodyText2">
    <w:name w:val="WW-Body Text 2"/>
    <w:basedOn w:val="Normal"/>
    <w:rsid w:val="008B422A"/>
    <w:pPr>
      <w:spacing w:line="360" w:lineRule="auto"/>
      <w:ind w:firstLine="1474"/>
      <w:jc w:val="both"/>
    </w:pPr>
    <w:rPr>
      <w:rFonts w:ascii="Garamond" w:eastAsia="Garamond" w:hAnsi="Garamond" w:cs="Garamond"/>
    </w:rPr>
  </w:style>
  <w:style w:type="paragraph" w:styleId="Encabezado">
    <w:name w:val="header"/>
    <w:basedOn w:val="Normal"/>
    <w:link w:val="EncabezadoCar"/>
    <w:uiPriority w:val="99"/>
    <w:rsid w:val="008B422A"/>
    <w:pPr>
      <w:tabs>
        <w:tab w:val="center" w:pos="4419"/>
        <w:tab w:val="right" w:pos="8838"/>
      </w:tabs>
    </w:pPr>
    <w:rPr>
      <w:rFonts w:ascii="Garamond" w:eastAsia="Garamond" w:hAnsi="Garamond" w:cs="Garamond"/>
      <w:lang w:val="es-ES"/>
    </w:rPr>
  </w:style>
  <w:style w:type="paragraph" w:customStyle="1" w:styleId="WW-BodyText21">
    <w:name w:val="WW-Body Text 21"/>
    <w:basedOn w:val="Normal"/>
    <w:rsid w:val="008B422A"/>
    <w:pPr>
      <w:spacing w:before="360" w:after="120" w:line="360" w:lineRule="auto"/>
      <w:ind w:firstLine="1503"/>
      <w:jc w:val="both"/>
    </w:pPr>
    <w:rPr>
      <w:rFonts w:ascii="Garamond" w:eastAsia="Garamond" w:hAnsi="Garamond" w:cs="Garamond"/>
    </w:rPr>
  </w:style>
  <w:style w:type="paragraph" w:styleId="Piedepgina">
    <w:name w:val="footer"/>
    <w:basedOn w:val="Normal"/>
    <w:link w:val="PiedepginaCar"/>
    <w:uiPriority w:val="99"/>
    <w:rsid w:val="008B422A"/>
    <w:pPr>
      <w:tabs>
        <w:tab w:val="center" w:pos="4252"/>
        <w:tab w:val="right" w:pos="8504"/>
      </w:tabs>
    </w:pPr>
  </w:style>
  <w:style w:type="paragraph" w:customStyle="1" w:styleId="Contenidodelatabla">
    <w:name w:val="Contenido de la tabla"/>
    <w:basedOn w:val="Normal"/>
    <w:rsid w:val="008B422A"/>
    <w:pPr>
      <w:suppressLineNumbers/>
    </w:pPr>
  </w:style>
  <w:style w:type="paragraph" w:customStyle="1" w:styleId="Encabezadodelatabla">
    <w:name w:val="Encabezado de la tabla"/>
    <w:basedOn w:val="Contenidodelatabla"/>
    <w:rsid w:val="008B422A"/>
    <w:pPr>
      <w:jc w:val="center"/>
    </w:pPr>
    <w:rPr>
      <w:b/>
      <w:bCs/>
    </w:rPr>
  </w:style>
  <w:style w:type="paragraph" w:customStyle="1" w:styleId="Sangra2detindependiente1">
    <w:name w:val="Sangría 2 de t. independiente1"/>
    <w:basedOn w:val="Normal"/>
    <w:rsid w:val="008B422A"/>
    <w:pPr>
      <w:spacing w:after="120"/>
      <w:ind w:firstLine="1361"/>
      <w:jc w:val="both"/>
    </w:pPr>
    <w:rPr>
      <w:rFonts w:ascii="Garamond" w:eastAsia="Garamond" w:hAnsi="Garamond" w:cs="Garamond"/>
    </w:rPr>
  </w:style>
  <w:style w:type="character" w:customStyle="1" w:styleId="PiedepginaCar">
    <w:name w:val="Pie de página Car"/>
    <w:basedOn w:val="Fuentedeprrafopredeter"/>
    <w:link w:val="Piedepgina"/>
    <w:uiPriority w:val="99"/>
    <w:rsid w:val="00D10CF5"/>
    <w:rPr>
      <w:rFonts w:ascii="Arial" w:eastAsia="Arial" w:hAnsi="Arial" w:cs="Arial"/>
      <w:kern w:val="1"/>
      <w:sz w:val="22"/>
      <w:szCs w:val="22"/>
      <w:lang w:val="es-ES_tradnl" w:eastAsia="zh-CN" w:bidi="hi-IN"/>
    </w:rPr>
  </w:style>
  <w:style w:type="paragraph" w:styleId="Textodeglobo">
    <w:name w:val="Balloon Text"/>
    <w:basedOn w:val="Normal"/>
    <w:link w:val="TextodegloboCar"/>
    <w:uiPriority w:val="99"/>
    <w:semiHidden/>
    <w:unhideWhenUsed/>
    <w:rsid w:val="00D10CF5"/>
    <w:rPr>
      <w:rFonts w:ascii="Tahoma" w:hAnsi="Tahoma" w:cs="Mangal"/>
      <w:sz w:val="16"/>
      <w:szCs w:val="14"/>
    </w:rPr>
  </w:style>
  <w:style w:type="character" w:customStyle="1" w:styleId="TextodegloboCar">
    <w:name w:val="Texto de globo Car"/>
    <w:basedOn w:val="Fuentedeprrafopredeter"/>
    <w:link w:val="Textodeglobo"/>
    <w:uiPriority w:val="99"/>
    <w:semiHidden/>
    <w:rsid w:val="00D10CF5"/>
    <w:rPr>
      <w:rFonts w:ascii="Tahoma" w:eastAsia="Arial" w:hAnsi="Tahoma" w:cs="Mangal"/>
      <w:kern w:val="1"/>
      <w:sz w:val="16"/>
      <w:szCs w:val="14"/>
      <w:lang w:val="es-ES_tradnl" w:eastAsia="zh-CN" w:bidi="hi-IN"/>
    </w:rPr>
  </w:style>
  <w:style w:type="character" w:customStyle="1" w:styleId="EncabezadoCar">
    <w:name w:val="Encabezado Car"/>
    <w:basedOn w:val="Fuentedeprrafopredeter"/>
    <w:link w:val="Encabezado"/>
    <w:uiPriority w:val="99"/>
    <w:rsid w:val="00C66A59"/>
    <w:rPr>
      <w:rFonts w:ascii="Garamond" w:eastAsia="Garamond" w:hAnsi="Garamond" w:cs="Garamond"/>
      <w:kern w:val="1"/>
      <w:sz w:val="22"/>
      <w:szCs w:val="22"/>
      <w:lang w:eastAsia="zh-CN" w:bidi="hi-IN"/>
    </w:rPr>
  </w:style>
  <w:style w:type="character" w:styleId="Hipervnculo">
    <w:name w:val="Hyperlink"/>
    <w:basedOn w:val="Fuentedeprrafopredeter"/>
    <w:uiPriority w:val="99"/>
    <w:unhideWhenUsed/>
    <w:rsid w:val="00B97DB7"/>
    <w:rPr>
      <w:color w:val="0000FF" w:themeColor="hyperlink"/>
      <w:u w:val="single"/>
    </w:rPr>
  </w:style>
  <w:style w:type="paragraph" w:styleId="Prrafodelista">
    <w:name w:val="List Paragraph"/>
    <w:basedOn w:val="Normal"/>
    <w:uiPriority w:val="34"/>
    <w:qFormat/>
    <w:rsid w:val="00187633"/>
    <w:pPr>
      <w:suppressAutoHyphens w:val="0"/>
      <w:spacing w:after="200" w:line="276" w:lineRule="auto"/>
      <w:ind w:left="720"/>
      <w:contextualSpacing/>
    </w:pPr>
    <w:rPr>
      <w:rFonts w:asciiTheme="minorHAnsi" w:eastAsiaTheme="minorHAnsi" w:hAnsiTheme="minorHAnsi" w:cstheme="minorBidi"/>
      <w:kern w:val="0"/>
      <w:lang w:val="es-AR" w:eastAsia="en-US" w:bidi="ar-SA"/>
    </w:rPr>
  </w:style>
  <w:style w:type="character" w:styleId="Hipervnculovisitado">
    <w:name w:val="FollowedHyperlink"/>
    <w:basedOn w:val="Fuentedeprrafopredeter"/>
    <w:uiPriority w:val="99"/>
    <w:semiHidden/>
    <w:unhideWhenUsed/>
    <w:rsid w:val="00D03BB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43922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aswe.santafe.gov.ar/formulario_excepcion_covid19"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aswe.santafe.gov.ar/obras_particulares_municipios_comunas/" TargetMode="Externa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04353-E3BA-4342-B65D-B96E1AEE2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682</Words>
  <Characters>3755</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RESOLUCIÓN Nº</vt:lpstr>
    </vt:vector>
  </TitlesOfParts>
  <Company>http://www.centor.mx.gd</Company>
  <LinksUpToDate>false</LinksUpToDate>
  <CharactersWithSpaces>4429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Nº</dc:title>
  <dc:creator>Nicolas Della Felice</dc:creator>
  <cp:keywords>匕䍅䕒䅔䥒⁁䕄吠䅒䅂佊洇慭瑲湩</cp:keywords>
  <cp:lastModifiedBy>Nicolás</cp:lastModifiedBy>
  <cp:revision>2</cp:revision>
  <cp:lastPrinted>2018-04-09T14:30:00Z</cp:lastPrinted>
  <dcterms:created xsi:type="dcterms:W3CDTF">2020-06-05T21:32:00Z</dcterms:created>
  <dcterms:modified xsi:type="dcterms:W3CDTF">2020-06-05T21:32:00Z</dcterms:modified>
</cp:coreProperties>
</file>